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2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after="0" w:line="52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软件园三期B20、B21研发楼空调维保服务方案</w:t>
      </w:r>
    </w:p>
    <w:p>
      <w:pPr>
        <w:spacing w:after="0" w:line="52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numPr>
          <w:ilvl w:val="0"/>
          <w:numId w:val="1"/>
        </w:numPr>
        <w:spacing w:after="0" w:line="52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项目概况</w:t>
      </w:r>
    </w:p>
    <w:p>
      <w:pPr>
        <w:spacing w:after="0"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B20、B21研发楼（以下简称“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资产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”）为厦门集美产业投资集团有限公司（以下简称“集美产投集团”）所有，坐落于厦门软件园三期A15地块的两栋研发楼，均为22层，楼高97.75米，建筑面积总计78667.23平方米，其中套内面积54873.59平方米，公摊面积23793.64平方米。空调室内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室外机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新风机共2150台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tbl>
      <w:tblPr>
        <w:tblStyle w:val="5"/>
        <w:tblpPr w:leftFromText="180" w:rightFromText="180" w:vertAnchor="text" w:horzAnchor="margin" w:tblpXSpec="center" w:tblpY="26"/>
        <w:tblW w:w="9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6000"/>
        <w:gridCol w:w="1164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机型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台数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>
            <w:pPr>
              <w:spacing w:after="0"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厦门市集美区软件园三期B20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21栋</w:t>
            </w:r>
          </w:p>
          <w:p>
            <w:pPr>
              <w:spacing w:after="0" w:line="5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MMY-MHP0804HT8-CF（外机）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MMY-MHP1004HT8-CF（外机）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MMY-MHP1204HT8-CF（外机）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MMY-MUP1801HT8Y-CF（外机）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MMY-MHP1604HT8-CF（外机）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83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MMU-AP0124HYF-C（内机）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31" w:type="dxa"/>
            <w:vMerge w:val="continue"/>
            <w:vAlign w:val="center"/>
          </w:tcPr>
          <w:p>
            <w:pPr>
              <w:widowControl/>
              <w:spacing w:after="0"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MMU-AP0154HYF-C（内机）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140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MMU-AP0184HYF-C（内机）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37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MMU-UP0152HY-CF（内机）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787"/>
                <w:tab w:val="right" w:pos="3454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标准暗藏天花式风管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（内机）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MMD-AP0366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小巧型超薄暗藏天花风管式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（内机）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MMD-AP0096M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小巧型超薄暗藏天花风管式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（内机）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MMD-AP0146M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小巧型超薄暗藏天花风管式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（内机）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MMD-AP0076M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小巧型超薄暗藏天花风管式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（内机）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MMD-AP0246M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小巧型超薄暗藏天花风管式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（内机）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MMD-AP0206M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小巧型超薄暗藏天花风管式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（内机）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MMD-UP0101MHY-CT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TOSHIBA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新风机外机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41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FGR55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新风机内机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41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  <w:t>FGR55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0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2150</w:t>
            </w:r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after="0"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after="0" w:line="52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numPr>
          <w:ilvl w:val="0"/>
          <w:numId w:val="1"/>
        </w:numPr>
        <w:spacing w:after="0" w:line="52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服务目标</w:t>
      </w:r>
    </w:p>
    <w:p>
      <w:pPr>
        <w:spacing w:after="0" w:line="520" w:lineRule="exact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通过科学、规范的维保管理，确保空调系统高效、稳定、安全运行，延长设备使用寿命，降低故障率，保障办公环境舒适，并满足节能降耗要求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after="0" w:line="520" w:lineRule="exact"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服务内容</w:t>
      </w:r>
    </w:p>
    <w:p>
      <w:pPr>
        <w:numPr>
          <w:ilvl w:val="-1"/>
          <w:numId w:val="0"/>
        </w:numPr>
        <w:spacing w:after="0" w:line="520" w:lineRule="exact"/>
        <w:ind w:left="0" w:firstLine="562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空调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维保服务项目</w:t>
      </w:r>
    </w:p>
    <w:p>
      <w:pPr>
        <w:spacing w:after="0" w:line="520" w:lineRule="exact"/>
        <w:ind w:firstLine="420" w:firstLineChars="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1.做好空调室内外机冷媒系统、电气系统及其它各项检测。</w:t>
      </w:r>
    </w:p>
    <w:p>
      <w:pPr>
        <w:spacing w:after="0" w:line="520" w:lineRule="exact"/>
        <w:ind w:firstLine="420" w:firstLineChars="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2.做好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故障排除、维修、迁移、更换配件等日常维护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管理。</w:t>
      </w:r>
    </w:p>
    <w:p>
      <w:pPr>
        <w:spacing w:after="0" w:line="520" w:lineRule="exact"/>
        <w:ind w:firstLine="420" w:firstLineChars="0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3.在制冷季与制热季之前对设备进行检查调试，并对设备外机热交换器、室内机滤网进行清洗维护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p>
      <w:pPr>
        <w:numPr>
          <w:ilvl w:val="-1"/>
          <w:numId w:val="0"/>
        </w:numPr>
        <w:spacing w:after="0" w:line="520" w:lineRule="exact"/>
        <w:ind w:leftChars="0" w:firstLine="562" w:firstLineChars="200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空调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维保服务要求</w:t>
      </w:r>
    </w:p>
    <w:p>
      <w:pPr>
        <w:spacing w:after="0"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1.除日常维护管理外，其他较大项目每次实施前，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应提供详细的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操作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方案，包括但不局限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：①满足项目要求的实施方案；②人员投入计划安排；③项目投入的主要物资（材料）及进场计划；④设备清洗步骤及流程；⑤突发紧急情况应急措施。</w:t>
      </w:r>
    </w:p>
    <w:p>
      <w:pPr>
        <w:spacing w:after="0" w:line="52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保证夏季空调使用高峰期空调设备正常使用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p>
      <w:pPr>
        <w:numPr>
          <w:ilvl w:val="-1"/>
          <w:numId w:val="0"/>
        </w:numPr>
        <w:spacing w:after="0" w:line="520" w:lineRule="exact"/>
        <w:ind w:left="0" w:leftChars="0"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维保人员必须持有制冷证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电工证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空调维修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高空作业证等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相关证件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>
      <w:pPr>
        <w:numPr>
          <w:ilvl w:val="-1"/>
          <w:numId w:val="0"/>
        </w:numPr>
        <w:spacing w:after="0" w:line="52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5.报修2小时</w:t>
      </w:r>
      <w:r>
        <w:rPr>
          <w:rFonts w:hint="eastAsia" w:ascii="仿宋_GB2312" w:hAnsi="仿宋_GB2312" w:eastAsia="仿宋_GB2312" w:cs="仿宋_GB2312"/>
          <w:sz w:val="28"/>
          <w:szCs w:val="28"/>
        </w:rPr>
        <w:t>内响应，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4小时以内到场维修</w:t>
      </w:r>
      <w:r>
        <w:rPr>
          <w:rFonts w:hint="eastAsia" w:ascii="仿宋_GB2312" w:hAnsi="仿宋_GB2312" w:eastAsia="仿宋_GB2312" w:cs="仿宋_GB2312"/>
          <w:sz w:val="28"/>
          <w:szCs w:val="28"/>
        </w:rPr>
        <w:t>，扣除待料时间外，一般性故障在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小时之内完成维修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恢复正常，较大事故5天之内恢复正常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特大事故报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集美产投集团</w:t>
      </w:r>
      <w:r>
        <w:rPr>
          <w:rFonts w:hint="eastAsia" w:ascii="仿宋_GB2312" w:hAnsi="仿宋_GB2312" w:eastAsia="仿宋_GB2312" w:cs="仿宋_GB2312"/>
          <w:sz w:val="28"/>
          <w:szCs w:val="28"/>
        </w:rPr>
        <w:t>并确定维修时限。</w:t>
      </w:r>
    </w:p>
    <w:p>
      <w:pPr>
        <w:numPr>
          <w:ilvl w:val="-1"/>
          <w:numId w:val="0"/>
        </w:numPr>
        <w:spacing w:after="0" w:line="52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保证在进行维修维护检测时尽量不影响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企业正常办公，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工作完成后，现场应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28"/>
          <w:szCs w:val="28"/>
        </w:rPr>
        <w:t>清理整洁。</w:t>
      </w:r>
    </w:p>
    <w:p>
      <w:pPr>
        <w:numPr>
          <w:ilvl w:val="-1"/>
          <w:numId w:val="0"/>
        </w:numPr>
        <w:spacing w:after="0" w:line="520" w:lineRule="exact"/>
        <w:ind w:left="0" w:leftChars="0"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空调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维保服务优惠</w:t>
      </w:r>
    </w:p>
    <w:p>
      <w:pPr>
        <w:spacing w:after="0"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.服务方</w:t>
      </w:r>
      <w:r>
        <w:rPr>
          <w:rFonts w:hint="eastAsia" w:ascii="仿宋_GB2312" w:hAnsi="仿宋_GB2312" w:eastAsia="仿宋_GB2312" w:cs="仿宋_GB2312"/>
          <w:sz w:val="28"/>
          <w:szCs w:val="28"/>
        </w:rPr>
        <w:t>自行储备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一定数量的</w:t>
      </w:r>
      <w:r>
        <w:rPr>
          <w:rFonts w:hint="eastAsia" w:ascii="仿宋_GB2312" w:hAnsi="仿宋_GB2312" w:eastAsia="仿宋_GB2312" w:cs="仿宋_GB2312"/>
          <w:sz w:val="28"/>
          <w:szCs w:val="28"/>
        </w:rPr>
        <w:t>易损配件，用于应急保障维修使用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spacing w:after="0"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更换的设备配件，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确保为原厂原装件，并</w:t>
      </w:r>
      <w:r>
        <w:rPr>
          <w:rFonts w:hint="eastAsia" w:ascii="仿宋_GB2312" w:hAnsi="仿宋_GB2312" w:eastAsia="仿宋_GB2312" w:cs="仿宋_GB2312"/>
          <w:sz w:val="28"/>
          <w:szCs w:val="28"/>
        </w:rPr>
        <w:t>保证一年的质保期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after="0" w:line="52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空调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维修保养的材料费用据实与集美产投集团结算，其他费用已包含在服务合同的价格中。</w:t>
      </w:r>
    </w:p>
    <w:p>
      <w:pPr>
        <w:numPr>
          <w:ilvl w:val="-1"/>
          <w:numId w:val="0"/>
        </w:numPr>
        <w:spacing w:after="0" w:line="520" w:lineRule="exact"/>
        <w:ind w:leftChars="0" w:firstLine="562" w:firstLineChars="200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其他事项</w:t>
      </w:r>
    </w:p>
    <w:p>
      <w:pPr>
        <w:numPr>
          <w:ilvl w:val="-1"/>
          <w:numId w:val="0"/>
        </w:numPr>
        <w:spacing w:after="0" w:line="520" w:lineRule="exact"/>
        <w:ind w:left="0" w:leftChars="0"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其他属于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管理服务范围但本方案未明确的事项亦属于本方案的服务内容。</w:t>
      </w:r>
    </w:p>
    <w:p>
      <w:pPr>
        <w:numPr>
          <w:ilvl w:val="0"/>
          <w:numId w:val="0"/>
        </w:numPr>
        <w:spacing w:after="0" w:line="520" w:lineRule="exact"/>
        <w:ind w:firstLine="560" w:firstLineChars="200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如对本方案理解有歧义的地方，以集美产投集团的解释为准。</w:t>
      </w:r>
    </w:p>
    <w:p/>
    <w:sectPr>
      <w:pgSz w:w="11906" w:h="16838"/>
      <w:pgMar w:top="1417" w:right="1134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5B0D1B"/>
    <w:multiLevelType w:val="singleLevel"/>
    <w:tmpl w:val="AC5B0D1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F"/>
    <w:rsid w:val="0005789F"/>
    <w:rsid w:val="004327EE"/>
    <w:rsid w:val="00611927"/>
    <w:rsid w:val="007C01A9"/>
    <w:rsid w:val="00A21D1E"/>
    <w:rsid w:val="00C2450E"/>
    <w:rsid w:val="00D30D26"/>
    <w:rsid w:val="00E00E4A"/>
    <w:rsid w:val="00E56AC0"/>
    <w:rsid w:val="0C5F2AFA"/>
    <w:rsid w:val="11BD700D"/>
    <w:rsid w:val="12932796"/>
    <w:rsid w:val="12D462E1"/>
    <w:rsid w:val="16340988"/>
    <w:rsid w:val="17974C16"/>
    <w:rsid w:val="24B047BA"/>
    <w:rsid w:val="2AC11CE2"/>
    <w:rsid w:val="2DF06738"/>
    <w:rsid w:val="2F5774EC"/>
    <w:rsid w:val="30F91121"/>
    <w:rsid w:val="3B37123D"/>
    <w:rsid w:val="40EE687A"/>
    <w:rsid w:val="430A602C"/>
    <w:rsid w:val="47743FBB"/>
    <w:rsid w:val="47B708B1"/>
    <w:rsid w:val="4B6F69C9"/>
    <w:rsid w:val="4CD4632F"/>
    <w:rsid w:val="52CE506B"/>
    <w:rsid w:val="5339761B"/>
    <w:rsid w:val="55E206AD"/>
    <w:rsid w:val="57BB2AFA"/>
    <w:rsid w:val="58654168"/>
    <w:rsid w:val="6A525B82"/>
    <w:rsid w:val="6E5F3136"/>
    <w:rsid w:val="794B2DF6"/>
    <w:rsid w:val="7BDB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等线" w:hAnsi="等线" w:eastAsia="等线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link w:val="3"/>
    <w:qFormat/>
    <w:uiPriority w:val="99"/>
    <w:rPr>
      <w:sz w:val="18"/>
      <w:szCs w:val="18"/>
    </w:rPr>
  </w:style>
  <w:style w:type="character" w:customStyle="1" w:styleId="8">
    <w:name w:val="页脚 字符"/>
    <w:link w:val="2"/>
    <w:uiPriority w:val="99"/>
    <w:rPr>
      <w:sz w:val="18"/>
      <w:szCs w:val="18"/>
    </w:rPr>
  </w:style>
  <w:style w:type="paragraph" w:customStyle="1" w:styleId="9">
    <w:name w:val="Revision"/>
    <w:hidden/>
    <w:unhideWhenUsed/>
    <w:uiPriority w:val="99"/>
    <w:rPr>
      <w:rFonts w:ascii="等线" w:hAnsi="等线" w:eastAsia="等线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1144</Characters>
  <Lines>9</Lines>
  <Paragraphs>2</Paragraphs>
  <TotalTime>109</TotalTime>
  <ScaleCrop>false</ScaleCrop>
  <LinksUpToDate>false</LinksUpToDate>
  <CharactersWithSpaces>1342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2024-01-25T05:32:00Z</dcterms:created>
  <dc:creator>王志生</dc:creator>
  <cp:lastModifiedBy>user</cp:lastModifiedBy>
  <dcterms:modified xsi:type="dcterms:W3CDTF">2026-03-30T03:21:58Z</dcterms:modified>
  <dc:title>软件园三期B20、B21研发楼委托管理服务方案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D4406D6FE27A44C38AE05841EC83A570_13</vt:lpwstr>
  </property>
  <property fmtid="{D5CDD505-2E9C-101B-9397-08002B2CF9AE}" pid="4" name="MSIP_Label_b7864bb8-b671-4bed-ba85-9478127ab5e9_Enabled">
    <vt:lpwstr>true</vt:lpwstr>
  </property>
  <property fmtid="{D5CDD505-2E9C-101B-9397-08002B2CF9AE}" pid="5" name="MSIP_Label_b7864bb8-b671-4bed-ba85-9478127ab5e9_SetDate">
    <vt:lpwstr>2024-04-15T07:05:30Z</vt:lpwstr>
  </property>
  <property fmtid="{D5CDD505-2E9C-101B-9397-08002B2CF9AE}" pid="6" name="MSIP_Label_b7864bb8-b671-4bed-ba85-9478127ab5e9_Method">
    <vt:lpwstr>Standard</vt:lpwstr>
  </property>
  <property fmtid="{D5CDD505-2E9C-101B-9397-08002B2CF9AE}" pid="7" name="MSIP_Label_b7864bb8-b671-4bed-ba85-9478127ab5e9_Name">
    <vt:lpwstr>Confidential – 2023</vt:lpwstr>
  </property>
  <property fmtid="{D5CDD505-2E9C-101B-9397-08002B2CF9AE}" pid="8" name="MSIP_Label_b7864bb8-b671-4bed-ba85-9478127ab5e9_SiteId">
    <vt:lpwstr>36839a65-7f3f-4bac-9ea4-f571f10a9a03</vt:lpwstr>
  </property>
  <property fmtid="{D5CDD505-2E9C-101B-9397-08002B2CF9AE}" pid="9" name="MSIP_Label_b7864bb8-b671-4bed-ba85-9478127ab5e9_ActionId">
    <vt:lpwstr>2d8798d0-0cc1-4f01-9371-6768188dc4cd</vt:lpwstr>
  </property>
  <property fmtid="{D5CDD505-2E9C-101B-9397-08002B2CF9AE}" pid="10" name="MSIP_Label_b7864bb8-b671-4bed-ba85-9478127ab5e9_ContentBits">
    <vt:lpwstr>0</vt:lpwstr>
  </property>
</Properties>
</file>